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7B" w:rsidRPr="004B7F58" w:rsidRDefault="0080117B" w:rsidP="0080117B">
      <w:pPr>
        <w:rPr>
          <w:b/>
          <w:sz w:val="24"/>
          <w:szCs w:val="24"/>
          <w:u w:val="single"/>
        </w:rPr>
      </w:pPr>
      <w:bookmarkStart w:id="0" w:name="_GoBack"/>
      <w:r w:rsidRPr="004B7F58">
        <w:rPr>
          <w:b/>
          <w:sz w:val="24"/>
          <w:szCs w:val="24"/>
          <w:u w:val="single"/>
        </w:rPr>
        <w:t xml:space="preserve">Welcome to </w:t>
      </w:r>
      <w:proofErr w:type="spellStart"/>
      <w:r w:rsidRPr="004B7F58">
        <w:rPr>
          <w:b/>
          <w:sz w:val="24"/>
          <w:szCs w:val="24"/>
          <w:u w:val="single"/>
        </w:rPr>
        <w:t>Ms</w:t>
      </w:r>
      <w:proofErr w:type="spellEnd"/>
      <w:r w:rsidRPr="004B7F58">
        <w:rPr>
          <w:b/>
          <w:sz w:val="24"/>
          <w:szCs w:val="24"/>
          <w:u w:val="single"/>
        </w:rPr>
        <w:t xml:space="preserve"> </w:t>
      </w:r>
      <w:proofErr w:type="spellStart"/>
      <w:r w:rsidRPr="004B7F58">
        <w:rPr>
          <w:b/>
          <w:sz w:val="24"/>
          <w:szCs w:val="24"/>
          <w:u w:val="single"/>
        </w:rPr>
        <w:t>Schleppe’s</w:t>
      </w:r>
      <w:proofErr w:type="spellEnd"/>
      <w:r w:rsidRPr="004B7F58">
        <w:rPr>
          <w:b/>
          <w:sz w:val="24"/>
          <w:szCs w:val="24"/>
          <w:u w:val="single"/>
        </w:rPr>
        <w:t xml:space="preserve"> English</w:t>
      </w:r>
      <w:r>
        <w:rPr>
          <w:b/>
          <w:sz w:val="24"/>
          <w:szCs w:val="24"/>
          <w:u w:val="single"/>
        </w:rPr>
        <w:t xml:space="preserve"> 12</w:t>
      </w:r>
      <w:r w:rsidRPr="004B7F58">
        <w:rPr>
          <w:b/>
          <w:sz w:val="24"/>
          <w:szCs w:val="24"/>
          <w:u w:val="single"/>
        </w:rPr>
        <w:t xml:space="preserve"> Class</w:t>
      </w:r>
    </w:p>
    <w:p w:rsidR="0080117B" w:rsidRPr="004B7F58" w:rsidRDefault="0080117B" w:rsidP="0080117B">
      <w:pPr>
        <w:rPr>
          <w:b/>
          <w:sz w:val="24"/>
          <w:szCs w:val="24"/>
          <w:u w:val="single"/>
        </w:rPr>
      </w:pPr>
      <w:r w:rsidRPr="004B7F58">
        <w:rPr>
          <w:sz w:val="24"/>
          <w:szCs w:val="24"/>
        </w:rPr>
        <w:t>I’m really excited about the year ahead.  For all of us to have a great year, there are a few things that you’ll need to know to make life easier for all of us!</w:t>
      </w:r>
    </w:p>
    <w:p w:rsidR="0080117B" w:rsidRPr="004B7F58" w:rsidRDefault="0080117B" w:rsidP="0080117B">
      <w:pPr>
        <w:spacing w:after="0"/>
        <w:rPr>
          <w:b/>
          <w:sz w:val="24"/>
          <w:szCs w:val="24"/>
        </w:rPr>
      </w:pPr>
      <w:r w:rsidRPr="004B7F58">
        <w:rPr>
          <w:b/>
          <w:sz w:val="24"/>
          <w:szCs w:val="24"/>
        </w:rPr>
        <w:t>Class Rules:</w:t>
      </w:r>
    </w:p>
    <w:p w:rsidR="0080117B" w:rsidRPr="004B7F58" w:rsidRDefault="0080117B" w:rsidP="0080117B">
      <w:pPr>
        <w:pStyle w:val="ListParagraph"/>
        <w:numPr>
          <w:ilvl w:val="0"/>
          <w:numId w:val="1"/>
        </w:numPr>
        <w:spacing w:after="0"/>
        <w:rPr>
          <w:sz w:val="24"/>
          <w:szCs w:val="24"/>
        </w:rPr>
      </w:pPr>
      <w:r w:rsidRPr="004B7F58">
        <w:rPr>
          <w:sz w:val="24"/>
          <w:szCs w:val="24"/>
        </w:rPr>
        <w:t xml:space="preserve"> RESPECT:  Everything and everyone.  It’s that simple.</w:t>
      </w:r>
    </w:p>
    <w:p w:rsidR="0080117B" w:rsidRPr="00300AA6" w:rsidRDefault="0080117B" w:rsidP="00300AA6">
      <w:pPr>
        <w:pStyle w:val="ListParagraph"/>
        <w:numPr>
          <w:ilvl w:val="0"/>
          <w:numId w:val="1"/>
        </w:numPr>
        <w:spacing w:after="0"/>
        <w:rPr>
          <w:sz w:val="24"/>
          <w:szCs w:val="24"/>
        </w:rPr>
      </w:pPr>
      <w:r w:rsidRPr="004B7F58">
        <w:rPr>
          <w:sz w:val="24"/>
          <w:szCs w:val="24"/>
        </w:rPr>
        <w:t>Assignments:  Everyone does every one of them.  It’s also that simple.  A lot of the work is done in class, so it is important that we use class time as well as we can.</w:t>
      </w:r>
      <w:r w:rsidR="00300AA6">
        <w:rPr>
          <w:sz w:val="24"/>
          <w:szCs w:val="24"/>
        </w:rPr>
        <w:t xml:space="preserve">  </w:t>
      </w:r>
      <w:r w:rsidR="00300AA6" w:rsidRPr="004B7F58">
        <w:rPr>
          <w:sz w:val="24"/>
          <w:szCs w:val="24"/>
        </w:rPr>
        <w:t>.</w:t>
      </w:r>
      <w:r w:rsidR="00300AA6">
        <w:rPr>
          <w:sz w:val="24"/>
          <w:szCs w:val="24"/>
        </w:rPr>
        <w:t xml:space="preserve">  Any late assignments are submitted to the late bin.  They won’t be graded until a lunch hour is spent in my room as a consequence.  Furthermore, late assignments receive only grades, no feedback.</w:t>
      </w:r>
    </w:p>
    <w:p w:rsidR="0080117B" w:rsidRPr="004B7F58" w:rsidRDefault="0080117B" w:rsidP="0080117B">
      <w:pPr>
        <w:spacing w:after="0"/>
        <w:rPr>
          <w:sz w:val="24"/>
          <w:szCs w:val="24"/>
        </w:rPr>
      </w:pPr>
      <w:r w:rsidRPr="004B7F58">
        <w:rPr>
          <w:sz w:val="24"/>
          <w:szCs w:val="24"/>
        </w:rPr>
        <w:t>English Language Arts is divided into three different sections:</w:t>
      </w:r>
    </w:p>
    <w:p w:rsidR="0080117B" w:rsidRPr="004B7F58" w:rsidRDefault="0080117B" w:rsidP="0080117B">
      <w:pPr>
        <w:pStyle w:val="ListParagraph"/>
        <w:numPr>
          <w:ilvl w:val="0"/>
          <w:numId w:val="2"/>
        </w:numPr>
        <w:spacing w:after="0"/>
        <w:rPr>
          <w:sz w:val="24"/>
          <w:szCs w:val="24"/>
        </w:rPr>
      </w:pPr>
      <w:r w:rsidRPr="004B7F58">
        <w:rPr>
          <w:sz w:val="24"/>
          <w:szCs w:val="24"/>
        </w:rPr>
        <w:t xml:space="preserve"> Speaking and Listening</w:t>
      </w:r>
    </w:p>
    <w:p w:rsidR="0080117B" w:rsidRPr="004B7F58" w:rsidRDefault="0080117B" w:rsidP="0080117B">
      <w:pPr>
        <w:pStyle w:val="ListParagraph"/>
        <w:numPr>
          <w:ilvl w:val="0"/>
          <w:numId w:val="2"/>
        </w:numPr>
        <w:rPr>
          <w:sz w:val="24"/>
          <w:szCs w:val="24"/>
        </w:rPr>
      </w:pPr>
      <w:r w:rsidRPr="004B7F58">
        <w:rPr>
          <w:sz w:val="24"/>
          <w:szCs w:val="24"/>
        </w:rPr>
        <w:t>Reading (and Viewing)</w:t>
      </w:r>
    </w:p>
    <w:p w:rsidR="0080117B" w:rsidRPr="004B7F58" w:rsidRDefault="0080117B" w:rsidP="0080117B">
      <w:pPr>
        <w:pStyle w:val="ListParagraph"/>
        <w:numPr>
          <w:ilvl w:val="0"/>
          <w:numId w:val="2"/>
        </w:numPr>
        <w:rPr>
          <w:sz w:val="24"/>
          <w:szCs w:val="24"/>
        </w:rPr>
      </w:pPr>
      <w:r w:rsidRPr="004B7F58">
        <w:rPr>
          <w:sz w:val="24"/>
          <w:szCs w:val="24"/>
        </w:rPr>
        <w:t>Writing (and Representing)</w:t>
      </w:r>
    </w:p>
    <w:p w:rsidR="0080117B" w:rsidRPr="004B7F58" w:rsidRDefault="0080117B" w:rsidP="0080117B">
      <w:pPr>
        <w:spacing w:after="0"/>
        <w:rPr>
          <w:sz w:val="24"/>
          <w:szCs w:val="24"/>
        </w:rPr>
      </w:pPr>
      <w:r w:rsidRPr="004B7F58">
        <w:rPr>
          <w:sz w:val="24"/>
          <w:szCs w:val="24"/>
        </w:rPr>
        <w:t>Assessment:  There are three types of assessment that we will use in class:</w:t>
      </w:r>
    </w:p>
    <w:p w:rsidR="0080117B" w:rsidRPr="004B7F58" w:rsidRDefault="0080117B" w:rsidP="0080117B">
      <w:pPr>
        <w:pStyle w:val="ListParagraph"/>
        <w:numPr>
          <w:ilvl w:val="0"/>
          <w:numId w:val="3"/>
        </w:numPr>
        <w:spacing w:after="0"/>
        <w:rPr>
          <w:sz w:val="24"/>
          <w:szCs w:val="24"/>
        </w:rPr>
      </w:pPr>
      <w:r w:rsidRPr="004B7F58">
        <w:rPr>
          <w:sz w:val="24"/>
          <w:szCs w:val="24"/>
        </w:rPr>
        <w:t xml:space="preserve"> Formative:  This is where the work is done for practice so you can learn to improve before you are marked.</w:t>
      </w:r>
    </w:p>
    <w:p w:rsidR="0080117B" w:rsidRPr="004B7F58" w:rsidRDefault="0080117B" w:rsidP="0080117B">
      <w:pPr>
        <w:pStyle w:val="ListParagraph"/>
        <w:numPr>
          <w:ilvl w:val="0"/>
          <w:numId w:val="3"/>
        </w:numPr>
        <w:rPr>
          <w:sz w:val="24"/>
          <w:szCs w:val="24"/>
        </w:rPr>
      </w:pPr>
      <w:r w:rsidRPr="004B7F58">
        <w:rPr>
          <w:sz w:val="24"/>
          <w:szCs w:val="24"/>
        </w:rPr>
        <w:t>Self-Assessment (and Peer Assessment):  This is where you keep track of how you are doing, figuring out what you’re doing well and what you need to work on.</w:t>
      </w:r>
    </w:p>
    <w:p w:rsidR="0080117B" w:rsidRPr="004B7F58" w:rsidRDefault="0080117B" w:rsidP="0080117B">
      <w:pPr>
        <w:pStyle w:val="ListParagraph"/>
        <w:numPr>
          <w:ilvl w:val="0"/>
          <w:numId w:val="3"/>
        </w:numPr>
        <w:rPr>
          <w:sz w:val="24"/>
          <w:szCs w:val="24"/>
        </w:rPr>
      </w:pPr>
      <w:r>
        <w:rPr>
          <w:sz w:val="24"/>
          <w:szCs w:val="24"/>
        </w:rPr>
        <w:t>Summa</w:t>
      </w:r>
      <w:r w:rsidRPr="004B7F58">
        <w:rPr>
          <w:sz w:val="24"/>
          <w:szCs w:val="24"/>
        </w:rPr>
        <w:t>tive Assessment:  This is the work that makes it onto the report card.</w:t>
      </w:r>
      <w:r>
        <w:rPr>
          <w:sz w:val="24"/>
          <w:szCs w:val="24"/>
        </w:rPr>
        <w:t xml:space="preserve">  It represents 60% of the course.  The other 40% comes from the provincial exam.  It will be based on the most consistent and current data, not on an average of all of your scores.</w:t>
      </w:r>
    </w:p>
    <w:p w:rsidR="0080117B" w:rsidRPr="004B7F58" w:rsidRDefault="0080117B" w:rsidP="0080117B">
      <w:pPr>
        <w:rPr>
          <w:sz w:val="24"/>
          <w:szCs w:val="24"/>
        </w:rPr>
      </w:pPr>
      <w:r w:rsidRPr="004B7F58">
        <w:rPr>
          <w:sz w:val="24"/>
          <w:szCs w:val="24"/>
        </w:rPr>
        <w:t xml:space="preserve">Grading follows the BC Performance Standards, which means we’ll use a lot of rubrics.  Grades will be assigned </w:t>
      </w:r>
      <w:r>
        <w:rPr>
          <w:sz w:val="24"/>
          <w:szCs w:val="24"/>
        </w:rPr>
        <w:t>on the following 4-point scale</w:t>
      </w:r>
      <w:r w:rsidRPr="004B7F58">
        <w:rPr>
          <w:sz w:val="24"/>
          <w:szCs w:val="24"/>
        </w:rPr>
        <w:t>:</w:t>
      </w:r>
    </w:p>
    <w:tbl>
      <w:tblPr>
        <w:tblStyle w:val="TableGrid"/>
        <w:tblW w:w="0" w:type="auto"/>
        <w:tblLook w:val="04A0" w:firstRow="1" w:lastRow="0" w:firstColumn="1" w:lastColumn="0" w:noHBand="0" w:noVBand="1"/>
      </w:tblPr>
      <w:tblGrid>
        <w:gridCol w:w="1915"/>
        <w:gridCol w:w="1915"/>
        <w:gridCol w:w="1915"/>
        <w:gridCol w:w="1915"/>
        <w:gridCol w:w="1916"/>
      </w:tblGrid>
      <w:tr w:rsidR="0080117B" w:rsidTr="00366E9D">
        <w:tc>
          <w:tcPr>
            <w:tcW w:w="1915" w:type="dxa"/>
            <w:shd w:val="clear" w:color="auto" w:fill="000000" w:themeFill="text1"/>
          </w:tcPr>
          <w:p w:rsidR="0080117B" w:rsidRDefault="0080117B" w:rsidP="00366E9D">
            <w:pPr>
              <w:rPr>
                <w:sz w:val="28"/>
                <w:szCs w:val="28"/>
              </w:rPr>
            </w:pPr>
          </w:p>
        </w:tc>
        <w:tc>
          <w:tcPr>
            <w:tcW w:w="1915" w:type="dxa"/>
            <w:shd w:val="clear" w:color="auto" w:fill="000000" w:themeFill="text1"/>
          </w:tcPr>
          <w:p w:rsidR="0080117B" w:rsidRPr="00D661EE" w:rsidRDefault="0080117B" w:rsidP="00366E9D">
            <w:pPr>
              <w:rPr>
                <w:b/>
                <w:color w:val="FFFFFF" w:themeColor="background1"/>
                <w:sz w:val="28"/>
                <w:szCs w:val="28"/>
              </w:rPr>
            </w:pPr>
            <w:r>
              <w:rPr>
                <w:b/>
                <w:color w:val="FFFFFF" w:themeColor="background1"/>
                <w:sz w:val="28"/>
                <w:szCs w:val="28"/>
              </w:rPr>
              <w:t>Beginning</w:t>
            </w:r>
            <w:r w:rsidRPr="00D661EE">
              <w:rPr>
                <w:b/>
                <w:color w:val="FFFFFF" w:themeColor="background1"/>
                <w:sz w:val="28"/>
                <w:szCs w:val="28"/>
              </w:rPr>
              <w:t xml:space="preserve">        </w:t>
            </w:r>
            <w:r>
              <w:rPr>
                <w:color w:val="FFFFFF" w:themeColor="background1"/>
                <w:sz w:val="28"/>
                <w:szCs w:val="28"/>
              </w:rPr>
              <w:t>-/   /</w:t>
            </w:r>
            <w:r w:rsidRPr="00D661EE">
              <w:rPr>
                <w:b/>
                <w:color w:val="FFFFFF" w:themeColor="background1"/>
                <w:sz w:val="28"/>
                <w:szCs w:val="28"/>
              </w:rPr>
              <w:t>+</w:t>
            </w:r>
          </w:p>
        </w:tc>
        <w:tc>
          <w:tcPr>
            <w:tcW w:w="1915" w:type="dxa"/>
            <w:shd w:val="clear" w:color="auto" w:fill="000000" w:themeFill="text1"/>
          </w:tcPr>
          <w:p w:rsidR="0080117B" w:rsidRDefault="0080117B" w:rsidP="00366E9D">
            <w:pPr>
              <w:rPr>
                <w:b/>
                <w:sz w:val="28"/>
                <w:szCs w:val="28"/>
              </w:rPr>
            </w:pPr>
            <w:r w:rsidRPr="003B1A03">
              <w:rPr>
                <w:b/>
                <w:sz w:val="28"/>
                <w:szCs w:val="28"/>
              </w:rPr>
              <w:t>Developing</w:t>
            </w:r>
          </w:p>
          <w:p w:rsidR="0080117B" w:rsidRPr="003B1A03" w:rsidRDefault="0080117B" w:rsidP="00366E9D">
            <w:pPr>
              <w:rPr>
                <w:b/>
                <w:sz w:val="28"/>
                <w:szCs w:val="28"/>
              </w:rPr>
            </w:pPr>
            <w:r>
              <w:rPr>
                <w:color w:val="FFFFFF" w:themeColor="background1"/>
                <w:sz w:val="28"/>
                <w:szCs w:val="28"/>
              </w:rPr>
              <w:t>-/   /</w:t>
            </w:r>
            <w:r w:rsidRPr="00D661EE">
              <w:rPr>
                <w:b/>
                <w:color w:val="FFFFFF" w:themeColor="background1"/>
                <w:sz w:val="28"/>
                <w:szCs w:val="28"/>
              </w:rPr>
              <w:t>+</w:t>
            </w:r>
          </w:p>
        </w:tc>
        <w:tc>
          <w:tcPr>
            <w:tcW w:w="1915" w:type="dxa"/>
            <w:shd w:val="clear" w:color="auto" w:fill="000000" w:themeFill="text1"/>
          </w:tcPr>
          <w:p w:rsidR="0080117B" w:rsidRDefault="0080117B" w:rsidP="00366E9D">
            <w:pPr>
              <w:rPr>
                <w:b/>
                <w:sz w:val="28"/>
                <w:szCs w:val="28"/>
              </w:rPr>
            </w:pPr>
            <w:r>
              <w:rPr>
                <w:b/>
                <w:sz w:val="28"/>
                <w:szCs w:val="28"/>
              </w:rPr>
              <w:t>Accomplished</w:t>
            </w:r>
          </w:p>
          <w:p w:rsidR="0080117B" w:rsidRPr="003B1A03" w:rsidRDefault="0080117B" w:rsidP="00366E9D">
            <w:pPr>
              <w:rPr>
                <w:b/>
                <w:sz w:val="28"/>
                <w:szCs w:val="28"/>
              </w:rPr>
            </w:pPr>
            <w:r>
              <w:rPr>
                <w:color w:val="FFFFFF" w:themeColor="background1"/>
                <w:sz w:val="28"/>
                <w:szCs w:val="28"/>
              </w:rPr>
              <w:t>-/   /</w:t>
            </w:r>
            <w:r w:rsidRPr="00D661EE">
              <w:rPr>
                <w:b/>
                <w:color w:val="FFFFFF" w:themeColor="background1"/>
                <w:sz w:val="28"/>
                <w:szCs w:val="28"/>
              </w:rPr>
              <w:t>+</w:t>
            </w:r>
          </w:p>
        </w:tc>
        <w:tc>
          <w:tcPr>
            <w:tcW w:w="1916" w:type="dxa"/>
            <w:shd w:val="clear" w:color="auto" w:fill="000000" w:themeFill="text1"/>
          </w:tcPr>
          <w:p w:rsidR="0080117B" w:rsidRDefault="0080117B" w:rsidP="00366E9D">
            <w:pPr>
              <w:rPr>
                <w:b/>
                <w:sz w:val="28"/>
                <w:szCs w:val="28"/>
              </w:rPr>
            </w:pPr>
            <w:r>
              <w:rPr>
                <w:b/>
                <w:sz w:val="28"/>
                <w:szCs w:val="28"/>
              </w:rPr>
              <w:t>Exemplary</w:t>
            </w:r>
          </w:p>
          <w:p w:rsidR="0080117B" w:rsidRPr="003B1A03" w:rsidRDefault="0080117B" w:rsidP="00366E9D">
            <w:pPr>
              <w:rPr>
                <w:b/>
                <w:sz w:val="28"/>
                <w:szCs w:val="28"/>
              </w:rPr>
            </w:pPr>
            <w:r>
              <w:rPr>
                <w:color w:val="FFFFFF" w:themeColor="background1"/>
                <w:sz w:val="28"/>
                <w:szCs w:val="28"/>
              </w:rPr>
              <w:t>-/   /</w:t>
            </w:r>
            <w:r w:rsidRPr="00D661EE">
              <w:rPr>
                <w:b/>
                <w:color w:val="FFFFFF" w:themeColor="background1"/>
                <w:sz w:val="28"/>
                <w:szCs w:val="28"/>
              </w:rPr>
              <w:t>+</w:t>
            </w:r>
          </w:p>
        </w:tc>
      </w:tr>
      <w:tr w:rsidR="0080117B" w:rsidTr="00366E9D">
        <w:tc>
          <w:tcPr>
            <w:tcW w:w="1915" w:type="dxa"/>
            <w:shd w:val="clear" w:color="auto" w:fill="404040" w:themeFill="text1" w:themeFillTint="BF"/>
          </w:tcPr>
          <w:p w:rsidR="0080117B" w:rsidRPr="003B1A03" w:rsidRDefault="0080117B" w:rsidP="00366E9D">
            <w:pPr>
              <w:rPr>
                <w:b/>
                <w:color w:val="FFFFFF" w:themeColor="background1"/>
                <w:sz w:val="28"/>
                <w:szCs w:val="28"/>
              </w:rPr>
            </w:pPr>
            <w:r w:rsidRPr="003B1A03">
              <w:rPr>
                <w:b/>
                <w:color w:val="FFFFFF" w:themeColor="background1"/>
                <w:sz w:val="28"/>
                <w:szCs w:val="28"/>
              </w:rPr>
              <w:t>Letter Grade</w:t>
            </w:r>
          </w:p>
        </w:tc>
        <w:tc>
          <w:tcPr>
            <w:tcW w:w="1915" w:type="dxa"/>
          </w:tcPr>
          <w:p w:rsidR="0080117B" w:rsidRDefault="0080117B" w:rsidP="00366E9D">
            <w:pPr>
              <w:rPr>
                <w:sz w:val="28"/>
                <w:szCs w:val="28"/>
              </w:rPr>
            </w:pPr>
            <w:r>
              <w:rPr>
                <w:sz w:val="28"/>
                <w:szCs w:val="28"/>
              </w:rPr>
              <w:t>I/F</w:t>
            </w:r>
          </w:p>
        </w:tc>
        <w:tc>
          <w:tcPr>
            <w:tcW w:w="1915" w:type="dxa"/>
          </w:tcPr>
          <w:p w:rsidR="0080117B" w:rsidRDefault="0080117B" w:rsidP="00366E9D">
            <w:pPr>
              <w:rPr>
                <w:sz w:val="28"/>
                <w:szCs w:val="28"/>
              </w:rPr>
            </w:pPr>
            <w:r>
              <w:rPr>
                <w:sz w:val="28"/>
                <w:szCs w:val="28"/>
              </w:rPr>
              <w:t>C-/C/C+</w:t>
            </w:r>
          </w:p>
        </w:tc>
        <w:tc>
          <w:tcPr>
            <w:tcW w:w="1915" w:type="dxa"/>
          </w:tcPr>
          <w:p w:rsidR="0080117B" w:rsidRDefault="0080117B" w:rsidP="00366E9D">
            <w:pPr>
              <w:rPr>
                <w:sz w:val="28"/>
                <w:szCs w:val="28"/>
              </w:rPr>
            </w:pPr>
            <w:r>
              <w:rPr>
                <w:sz w:val="28"/>
                <w:szCs w:val="28"/>
              </w:rPr>
              <w:t>C+/B</w:t>
            </w:r>
          </w:p>
        </w:tc>
        <w:tc>
          <w:tcPr>
            <w:tcW w:w="1916" w:type="dxa"/>
          </w:tcPr>
          <w:p w:rsidR="0080117B" w:rsidRDefault="0080117B" w:rsidP="00366E9D">
            <w:pPr>
              <w:rPr>
                <w:sz w:val="28"/>
                <w:szCs w:val="28"/>
              </w:rPr>
            </w:pPr>
            <w:r>
              <w:rPr>
                <w:sz w:val="28"/>
                <w:szCs w:val="28"/>
              </w:rPr>
              <w:t>A</w:t>
            </w:r>
          </w:p>
        </w:tc>
      </w:tr>
      <w:tr w:rsidR="0080117B" w:rsidTr="00366E9D">
        <w:tc>
          <w:tcPr>
            <w:tcW w:w="1915" w:type="dxa"/>
            <w:shd w:val="clear" w:color="auto" w:fill="404040" w:themeFill="text1" w:themeFillTint="BF"/>
          </w:tcPr>
          <w:p w:rsidR="0080117B" w:rsidRPr="003B1A03" w:rsidRDefault="0080117B" w:rsidP="00366E9D">
            <w:pPr>
              <w:rPr>
                <w:b/>
                <w:color w:val="FFFFFF" w:themeColor="background1"/>
                <w:sz w:val="28"/>
                <w:szCs w:val="28"/>
              </w:rPr>
            </w:pPr>
            <w:r w:rsidRPr="003B1A03">
              <w:rPr>
                <w:b/>
                <w:color w:val="FFFFFF" w:themeColor="background1"/>
                <w:sz w:val="28"/>
                <w:szCs w:val="28"/>
              </w:rPr>
              <w:t>Percentage</w:t>
            </w:r>
          </w:p>
        </w:tc>
        <w:tc>
          <w:tcPr>
            <w:tcW w:w="1915" w:type="dxa"/>
          </w:tcPr>
          <w:p w:rsidR="0080117B" w:rsidRDefault="0080117B" w:rsidP="00366E9D">
            <w:pPr>
              <w:rPr>
                <w:sz w:val="28"/>
                <w:szCs w:val="28"/>
              </w:rPr>
            </w:pPr>
            <w:r>
              <w:rPr>
                <w:sz w:val="28"/>
                <w:szCs w:val="28"/>
              </w:rPr>
              <w:t>0       30       45</w:t>
            </w:r>
          </w:p>
        </w:tc>
        <w:tc>
          <w:tcPr>
            <w:tcW w:w="1915" w:type="dxa"/>
          </w:tcPr>
          <w:p w:rsidR="0080117B" w:rsidRDefault="0080117B" w:rsidP="00366E9D">
            <w:pPr>
              <w:rPr>
                <w:sz w:val="28"/>
                <w:szCs w:val="28"/>
              </w:rPr>
            </w:pPr>
            <w:r>
              <w:rPr>
                <w:sz w:val="28"/>
                <w:szCs w:val="28"/>
              </w:rPr>
              <w:t>55      60      67</w:t>
            </w:r>
          </w:p>
        </w:tc>
        <w:tc>
          <w:tcPr>
            <w:tcW w:w="1915" w:type="dxa"/>
          </w:tcPr>
          <w:p w:rsidR="0080117B" w:rsidRDefault="0080117B" w:rsidP="00366E9D">
            <w:pPr>
              <w:rPr>
                <w:sz w:val="28"/>
                <w:szCs w:val="28"/>
              </w:rPr>
            </w:pPr>
            <w:r>
              <w:rPr>
                <w:sz w:val="28"/>
                <w:szCs w:val="28"/>
              </w:rPr>
              <w:t>70     75      80</w:t>
            </w:r>
          </w:p>
        </w:tc>
        <w:tc>
          <w:tcPr>
            <w:tcW w:w="1916" w:type="dxa"/>
          </w:tcPr>
          <w:p w:rsidR="0080117B" w:rsidRDefault="0080117B" w:rsidP="00366E9D">
            <w:pPr>
              <w:rPr>
                <w:sz w:val="28"/>
                <w:szCs w:val="28"/>
              </w:rPr>
            </w:pPr>
            <w:r>
              <w:rPr>
                <w:sz w:val="28"/>
                <w:szCs w:val="28"/>
              </w:rPr>
              <w:t>86    93      100</w:t>
            </w:r>
          </w:p>
        </w:tc>
      </w:tr>
    </w:tbl>
    <w:p w:rsidR="0080117B" w:rsidRDefault="0080117B" w:rsidP="0080117B">
      <w:pPr>
        <w:rPr>
          <w:sz w:val="28"/>
          <w:szCs w:val="28"/>
        </w:rPr>
      </w:pPr>
    </w:p>
    <w:p w:rsidR="00300AA6" w:rsidRDefault="0080117B" w:rsidP="00300AA6">
      <w:pPr>
        <w:spacing w:after="0" w:line="240" w:lineRule="auto"/>
        <w:rPr>
          <w:sz w:val="24"/>
          <w:szCs w:val="24"/>
        </w:rPr>
      </w:pPr>
      <w:r>
        <w:rPr>
          <w:sz w:val="24"/>
          <w:szCs w:val="24"/>
        </w:rPr>
        <w:t>We will also be using the province’s 6-point scale from the provincial exams.</w:t>
      </w:r>
      <w:r w:rsidR="00300AA6">
        <w:rPr>
          <w:sz w:val="24"/>
          <w:szCs w:val="24"/>
        </w:rPr>
        <w:t xml:space="preserve"> </w:t>
      </w:r>
    </w:p>
    <w:p w:rsidR="0080117B" w:rsidRDefault="0080117B" w:rsidP="00300AA6">
      <w:pPr>
        <w:spacing w:after="0" w:line="240" w:lineRule="auto"/>
        <w:rPr>
          <w:sz w:val="24"/>
          <w:szCs w:val="24"/>
        </w:rPr>
      </w:pPr>
      <w:r>
        <w:rPr>
          <w:sz w:val="24"/>
          <w:szCs w:val="24"/>
        </w:rPr>
        <w:t xml:space="preserve">Silent Reading:  We will be reading daily, so please be prepared.  </w:t>
      </w:r>
    </w:p>
    <w:p w:rsidR="0080117B" w:rsidRDefault="0080117B" w:rsidP="00300AA6">
      <w:pPr>
        <w:spacing w:after="0" w:line="240" w:lineRule="auto"/>
        <w:rPr>
          <w:sz w:val="24"/>
          <w:szCs w:val="24"/>
        </w:rPr>
      </w:pPr>
      <w:r>
        <w:rPr>
          <w:sz w:val="24"/>
          <w:szCs w:val="24"/>
        </w:rPr>
        <w:t>Collaboration:  Expect to work with others frequently.  You will be working together most classes and expect to work with different people often.  Studies show that we learn the most this way!</w:t>
      </w:r>
    </w:p>
    <w:p w:rsidR="00E9721E" w:rsidRPr="0080117B" w:rsidRDefault="0080117B">
      <w:pPr>
        <w:rPr>
          <w:sz w:val="24"/>
          <w:szCs w:val="24"/>
        </w:rPr>
      </w:pPr>
      <w:r>
        <w:rPr>
          <w:sz w:val="24"/>
          <w:szCs w:val="24"/>
        </w:rPr>
        <w:t xml:space="preserve">Contact:  If you need to reach me, email is best:  </w:t>
      </w:r>
      <w:hyperlink r:id="rId6" w:history="1">
        <w:r w:rsidRPr="00C32D76">
          <w:rPr>
            <w:rStyle w:val="Hyperlink"/>
            <w:sz w:val="24"/>
            <w:szCs w:val="24"/>
          </w:rPr>
          <w:t>sschleppe@sd42.ca</w:t>
        </w:r>
      </w:hyperlink>
      <w:r>
        <w:rPr>
          <w:sz w:val="24"/>
          <w:szCs w:val="24"/>
        </w:rPr>
        <w:t xml:space="preserve">.  Of course I can often be found in my room and will be happy to help you mornings, lunch, or after school.  Let me know ahead of time and I’ll make sure I’m there.  Also, assignments and other useful pieces of information will be posted on my website:  </w:t>
      </w:r>
      <w:hyperlink r:id="rId7" w:history="1">
        <w:r w:rsidRPr="00C32D76">
          <w:rPr>
            <w:rStyle w:val="Hyperlink"/>
            <w:sz w:val="24"/>
            <w:szCs w:val="24"/>
          </w:rPr>
          <w:t>www.schleppe.weebly.com</w:t>
        </w:r>
      </w:hyperlink>
      <w:r>
        <w:rPr>
          <w:sz w:val="24"/>
          <w:szCs w:val="24"/>
        </w:rPr>
        <w:t>.</w:t>
      </w:r>
      <w:bookmarkEnd w:id="0"/>
    </w:p>
    <w:sectPr w:rsidR="00E9721E" w:rsidRPr="0080117B" w:rsidSect="004B7F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FD3"/>
    <w:multiLevelType w:val="hybridMultilevel"/>
    <w:tmpl w:val="33D4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F5CBF"/>
    <w:multiLevelType w:val="hybridMultilevel"/>
    <w:tmpl w:val="9FE8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D5D5B"/>
    <w:multiLevelType w:val="hybridMultilevel"/>
    <w:tmpl w:val="355EE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7B"/>
    <w:rsid w:val="00300AA6"/>
    <w:rsid w:val="0080117B"/>
    <w:rsid w:val="00E9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7B"/>
    <w:pPr>
      <w:ind w:left="720"/>
      <w:contextualSpacing/>
    </w:pPr>
  </w:style>
  <w:style w:type="table" w:styleId="TableGrid">
    <w:name w:val="Table Grid"/>
    <w:basedOn w:val="TableNormal"/>
    <w:uiPriority w:val="59"/>
    <w:rsid w:val="0080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7B"/>
    <w:pPr>
      <w:ind w:left="720"/>
      <w:contextualSpacing/>
    </w:pPr>
  </w:style>
  <w:style w:type="table" w:styleId="TableGrid">
    <w:name w:val="Table Grid"/>
    <w:basedOn w:val="TableNormal"/>
    <w:uiPriority w:val="59"/>
    <w:rsid w:val="0080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hlepp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chleppe@sd42.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Schleppe</dc:creator>
  <cp:lastModifiedBy>Susan Schleppe</cp:lastModifiedBy>
  <cp:revision>2</cp:revision>
  <dcterms:created xsi:type="dcterms:W3CDTF">2013-09-08T18:11:00Z</dcterms:created>
  <dcterms:modified xsi:type="dcterms:W3CDTF">2014-09-22T01:52:00Z</dcterms:modified>
</cp:coreProperties>
</file>